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Default="00B72F8B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:rsidR="00B72F8B" w:rsidRPr="00CA13A0" w:rsidRDefault="00B72F8B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 11</w:t>
      </w:r>
      <w:r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 «</w:t>
      </w:r>
      <w:r w:rsidRPr="00B72F8B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на Биохимический анализатор BS-200E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район,село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Курчум, ул</w:t>
      </w:r>
      <w:proofErr w:type="gramStart"/>
      <w:r w:rsidRPr="00CA13A0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CA13A0">
        <w:rPr>
          <w:rFonts w:ascii="Times New Roman" w:hAnsi="Times New Roman" w:cs="Times New Roman"/>
          <w:b/>
          <w:sz w:val="24"/>
          <w:szCs w:val="24"/>
        </w:rPr>
        <w:t>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680"/>
        <w:gridCol w:w="2121"/>
        <w:gridCol w:w="3261"/>
        <w:gridCol w:w="850"/>
        <w:gridCol w:w="710"/>
        <w:gridCol w:w="991"/>
        <w:gridCol w:w="957"/>
      </w:tblGrid>
      <w:tr w:rsidR="00D25E87" w:rsidTr="00D25E87">
        <w:tc>
          <w:tcPr>
            <w:tcW w:w="355" w:type="pct"/>
            <w:vAlign w:val="center"/>
          </w:tcPr>
          <w:p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="00D25E87"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108" w:type="pct"/>
            <w:vAlign w:val="center"/>
          </w:tcPr>
          <w:p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704" w:type="pct"/>
            <w:vAlign w:val="center"/>
          </w:tcPr>
          <w:p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444" w:type="pct"/>
            <w:vAlign w:val="center"/>
          </w:tcPr>
          <w:p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371" w:type="pct"/>
            <w:vAlign w:val="center"/>
          </w:tcPr>
          <w:p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518" w:type="pct"/>
            <w:vAlign w:val="center"/>
          </w:tcPr>
          <w:p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500" w:type="pct"/>
            <w:vAlign w:val="center"/>
          </w:tcPr>
          <w:p w:rsidR="009B201C" w:rsidRPr="00D25E87" w:rsidRDefault="009B201C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АЛТ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1B274C">
              <w:rPr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sz w:val="16"/>
                <w:szCs w:val="16"/>
              </w:rPr>
              <w:t xml:space="preserve"> Двухкомпонентный набор реагентов для определения GOT/ALT.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28 150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422 250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АСТ 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GOT/A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824D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28 150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422 250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Альфа-Амилазы</w:t>
            </w:r>
            <w:proofErr w:type="gramEnd"/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AMS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48мл.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42 750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897 750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набор реагентов для определения Глюкозы 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Для автоматического биохимического </w:t>
            </w: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GLU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GodPap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200мл.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23 650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354 750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Креатинина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CREA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J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210мл.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864 000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Мочевины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BUN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UREA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357 000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Общего белка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Однокомпонентный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824D36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17 100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205 200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Общего билирубина 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TBIL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VOX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176мл. Реагенты должны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824D36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630 000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Прямого билирубина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DBIL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VOX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824D36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E6E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504 000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Общего холестерина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Однокомпонентный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CHOL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TC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32 100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385 200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4A195C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2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Триглицеридов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Однокомпонентный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TG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64 500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387 000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Мочевой кислоты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200мл.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36 050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216 300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Железа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96мл.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55 900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167 700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Мультикалибратор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Одноуровневый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мультикалибратор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однокомпонентных и двухкомпонентных тестов. Лиофильно высушенная сыворотка с аттестованными значениями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аналитов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калибровки тестов: GOT/ALT, GOT/A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ALB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AMS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GGT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GLU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GodPap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CREA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J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LDH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MG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BUN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UREA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TBIL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VOX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DBIL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VOX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CHOL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TC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TG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ALP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UA. При разведении лиофильной сыворотки, объем готового калибратора не менее 30мл.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мультикалибратора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141 400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282 800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сыворотка НОРМА 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Лиофильно высушенная сыворотка для проведения QC, с аттестованными нормальными значениями (N) для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определяемых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аналитов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При разведении лиофильной сыворотки, объем готового контрольного раствора не менее 50мл.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173 400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346 800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сыворотка ПАТОЛОГИЯ 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Лиофильно высушенная сыворотка для проведения QC, с аттестованными нормальными значениями (Р) для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определяемых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аналитов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При разведении лиофильной сыворотки, объем готового контрольного раствора не менее 50мл.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контрольной сыворотки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173 400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346 800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Моющий раствор 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Специальный концентрированный реагент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Dete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rgent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CD80. Реагент предназначен для приготовления моющего раствора использующегося для промывки блока реакционных кювет, дозирующих зондов, миксера. Готовый раствор не должен обладать коррозийными и окисляющими свойствами при контакте с деталями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анализатора. Фасовка концентрата должна быть не менее 1 литра. Должно хватать для приготовления не менее чем </w:t>
            </w:r>
            <w:smartTag w:uri="urn:schemas-microsoft-com:office:smarttags" w:element="metricconverter">
              <w:smartTagPr>
                <w:attr w:name="ProductID" w:val="15 литров"/>
              </w:smartTagPr>
              <w:r w:rsidRPr="001B274C">
                <w:rPr>
                  <w:rFonts w:ascii="Times New Roman" w:eastAsia="Calibri" w:hAnsi="Times New Roman" w:cs="Times New Roman"/>
                  <w:sz w:val="16"/>
                  <w:szCs w:val="16"/>
                </w:rPr>
                <w:t>15 литров</w:t>
              </w:r>
            </w:smartTag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моющего раствора.</w:t>
            </w:r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флакон</w:t>
            </w:r>
          </w:p>
        </w:tc>
        <w:tc>
          <w:tcPr>
            <w:tcW w:w="371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18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47 250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1 701 000</w:t>
            </w:r>
          </w:p>
        </w:tc>
      </w:tr>
      <w:tr w:rsidR="004A195C" w:rsidTr="001B274C">
        <w:trPr>
          <w:trHeight w:val="136"/>
        </w:trPr>
        <w:tc>
          <w:tcPr>
            <w:tcW w:w="355" w:type="pct"/>
          </w:tcPr>
          <w:p w:rsidR="004A195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108" w:type="pct"/>
            <w:vAlign w:val="center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С-реактивного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белка</w:t>
            </w:r>
          </w:p>
        </w:tc>
        <w:tc>
          <w:tcPr>
            <w:tcW w:w="1704" w:type="pct"/>
          </w:tcPr>
          <w:p w:rsidR="004A195C" w:rsidRPr="001B274C" w:rsidRDefault="004A195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методом нефелометрии. Объем рабочего раствора не менее 50мл.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4A195C" w:rsidRPr="001B274C" w:rsidRDefault="004A195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4A195C" w:rsidRPr="001B274C" w:rsidRDefault="00DE6E28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8" w:type="pct"/>
            <w:vAlign w:val="center"/>
          </w:tcPr>
          <w:p w:rsidR="004A195C" w:rsidRPr="001B274C" w:rsidRDefault="00E23D3B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64 250</w:t>
            </w:r>
          </w:p>
        </w:tc>
        <w:tc>
          <w:tcPr>
            <w:tcW w:w="500" w:type="pct"/>
            <w:vAlign w:val="center"/>
          </w:tcPr>
          <w:p w:rsidR="004A195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1 670 500</w:t>
            </w:r>
          </w:p>
        </w:tc>
      </w:tr>
      <w:tr w:rsidR="001B274C" w:rsidTr="001B274C">
        <w:trPr>
          <w:trHeight w:val="136"/>
        </w:trPr>
        <w:tc>
          <w:tcPr>
            <w:tcW w:w="355" w:type="pct"/>
          </w:tcPr>
          <w:p w:rsidR="001B274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08" w:type="pct"/>
            <w:vAlign w:val="center"/>
          </w:tcPr>
          <w:p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HDL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pct"/>
          </w:tcPr>
          <w:p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количественного определения липидного обмена высокой концентрации методом прямой фотометрии без осаждения. На специфичность наблюдаемого эффекта не влияет концентрация НВ в пределах до ±10%. Объем рабочего раствора не менее 54мл.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1B274C" w:rsidRPr="001B274C" w:rsidRDefault="001B274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1B274C" w:rsidRPr="001B274C" w:rsidRDefault="00E23D3B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pct"/>
            <w:vAlign w:val="center"/>
          </w:tcPr>
          <w:p w:rsidR="001B274C" w:rsidRPr="001B274C" w:rsidRDefault="00E23D3B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79 700</w:t>
            </w:r>
          </w:p>
        </w:tc>
        <w:tc>
          <w:tcPr>
            <w:tcW w:w="500" w:type="pct"/>
            <w:vAlign w:val="center"/>
          </w:tcPr>
          <w:p w:rsidR="001B274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398 500</w:t>
            </w:r>
          </w:p>
        </w:tc>
      </w:tr>
      <w:tr w:rsidR="001B274C" w:rsidTr="001B274C">
        <w:trPr>
          <w:trHeight w:val="136"/>
        </w:trPr>
        <w:tc>
          <w:tcPr>
            <w:tcW w:w="355" w:type="pct"/>
          </w:tcPr>
          <w:p w:rsidR="001B274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8" w:type="pct"/>
            <w:vAlign w:val="center"/>
          </w:tcPr>
          <w:p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LDL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pct"/>
          </w:tcPr>
          <w:p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количественного определения липидного обмена низкой концентрации методом прямой фотометрии без осаждения. На специфичность наблюдаемого эффекта не влияет концентрация НВ в пределах до ±10%. Объем рабочего раствора не менее 54мл.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1B274C" w:rsidRPr="001B274C" w:rsidRDefault="001B274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1B274C" w:rsidRPr="001B274C" w:rsidRDefault="00E23D3B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pct"/>
            <w:vAlign w:val="center"/>
          </w:tcPr>
          <w:p w:rsidR="001B274C" w:rsidRPr="001B274C" w:rsidRDefault="00E23D3B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89 900</w:t>
            </w:r>
          </w:p>
        </w:tc>
        <w:tc>
          <w:tcPr>
            <w:tcW w:w="500" w:type="pct"/>
            <w:vAlign w:val="center"/>
          </w:tcPr>
          <w:p w:rsidR="001B274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449 500</w:t>
            </w:r>
          </w:p>
        </w:tc>
      </w:tr>
      <w:tr w:rsidR="001B274C" w:rsidTr="001B274C">
        <w:trPr>
          <w:trHeight w:val="136"/>
        </w:trPr>
        <w:tc>
          <w:tcPr>
            <w:tcW w:w="355" w:type="pct"/>
          </w:tcPr>
          <w:p w:rsidR="001B274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8" w:type="pct"/>
            <w:vAlign w:val="center"/>
          </w:tcPr>
          <w:p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Мультикалибратор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липидов </w:t>
            </w:r>
          </w:p>
        </w:tc>
        <w:tc>
          <w:tcPr>
            <w:tcW w:w="1704" w:type="pct"/>
          </w:tcPr>
          <w:p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Мультикалибратор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двухкомпонентных тестов при количественном определении липидов. Лиофильно высушенная сыворотка с аттестованными значениями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аналитов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для калибровки тестов: АроА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АроВ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HDL-C, LDL-C, определяемых методом прямой фотометрии без осаждения. При разведении лиофильной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сыворотки, объем готового калибратора не менее 5мл.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Набор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мультикалибратора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референтных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значений тестов в память анализатора.</w:t>
            </w:r>
            <w:proofErr w:type="gramEnd"/>
          </w:p>
        </w:tc>
        <w:tc>
          <w:tcPr>
            <w:tcW w:w="444" w:type="pct"/>
            <w:vAlign w:val="center"/>
          </w:tcPr>
          <w:p w:rsidR="001B274C" w:rsidRPr="001B274C" w:rsidRDefault="001B274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371" w:type="pct"/>
            <w:vAlign w:val="center"/>
          </w:tcPr>
          <w:p w:rsidR="001B274C" w:rsidRPr="001B274C" w:rsidRDefault="00E23D3B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" w:type="pct"/>
            <w:vAlign w:val="center"/>
          </w:tcPr>
          <w:p w:rsidR="001B274C" w:rsidRPr="001B274C" w:rsidRDefault="00E23D3B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123 820</w:t>
            </w:r>
          </w:p>
        </w:tc>
        <w:tc>
          <w:tcPr>
            <w:tcW w:w="500" w:type="pct"/>
            <w:vAlign w:val="center"/>
          </w:tcPr>
          <w:p w:rsidR="001B274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371 460</w:t>
            </w:r>
          </w:p>
        </w:tc>
      </w:tr>
      <w:tr w:rsidR="001B274C" w:rsidTr="001B274C">
        <w:trPr>
          <w:trHeight w:val="136"/>
        </w:trPr>
        <w:tc>
          <w:tcPr>
            <w:tcW w:w="355" w:type="pct"/>
          </w:tcPr>
          <w:p w:rsidR="001B274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108" w:type="pct"/>
            <w:vAlign w:val="center"/>
          </w:tcPr>
          <w:p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Калибратор для специфических белков </w:t>
            </w:r>
          </w:p>
        </w:tc>
        <w:tc>
          <w:tcPr>
            <w:tcW w:w="1704" w:type="pct"/>
          </w:tcPr>
          <w:p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Специальный калибратор на основе человеческой сыворотки, имеющий аттестованные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референтные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значения, для проведения процедуры калибровки при выполнении тестов на С3, С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CRP,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IgA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IgG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IgM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Калибратор должен быть в жидком виде, полностью готовый, не требующий предварительной подготовки. Калибратор должен быть расфасован в несколько флаконов, что позволяет в дальнейшем использование отдельных флаконов для предотвращения контаминации и продления стабильности. Общий объем калибратора должен быть не менее 5мл. Флаконы с калибратором должны быть полностью адаптированы для реагентной карусели анализатора.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Каждый флакон должен быть снабжен специальным штрих-кодом совместимым со встроенным сканером анализатора.</w:t>
            </w:r>
            <w:proofErr w:type="gramEnd"/>
          </w:p>
        </w:tc>
        <w:tc>
          <w:tcPr>
            <w:tcW w:w="444" w:type="pct"/>
            <w:vAlign w:val="center"/>
          </w:tcPr>
          <w:p w:rsidR="001B274C" w:rsidRPr="001B274C" w:rsidRDefault="001B274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1B274C" w:rsidRPr="001B274C" w:rsidRDefault="00E23D3B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" w:type="pct"/>
            <w:vAlign w:val="center"/>
          </w:tcPr>
          <w:p w:rsidR="001B274C" w:rsidRPr="001B274C" w:rsidRDefault="00E23D3B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169 000</w:t>
            </w:r>
          </w:p>
        </w:tc>
        <w:tc>
          <w:tcPr>
            <w:tcW w:w="500" w:type="pct"/>
            <w:vAlign w:val="center"/>
          </w:tcPr>
          <w:p w:rsidR="001B274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507 000</w:t>
            </w:r>
          </w:p>
        </w:tc>
      </w:tr>
      <w:tr w:rsidR="001B274C" w:rsidTr="001B274C">
        <w:trPr>
          <w:trHeight w:val="136"/>
        </w:trPr>
        <w:tc>
          <w:tcPr>
            <w:tcW w:w="355" w:type="pct"/>
          </w:tcPr>
          <w:p w:rsidR="001B274C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08" w:type="pct"/>
            <w:vAlign w:val="center"/>
          </w:tcPr>
          <w:p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Диагностический набор реагентов для определения Щелочной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фосфотазы</w:t>
            </w:r>
            <w:proofErr w:type="spellEnd"/>
          </w:p>
        </w:tc>
        <w:tc>
          <w:tcPr>
            <w:tcW w:w="1704" w:type="pct"/>
          </w:tcPr>
          <w:p w:rsidR="001B274C" w:rsidRPr="001B274C" w:rsidRDefault="001B274C" w:rsidP="001B27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27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Для автоматического биохимического анализатора BS-200E закрытого типа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Двухкомпонентный набор реагентов для определения 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ALP</w:t>
            </w:r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Объем рабочего раствора не менее 176мл. Реагенты должны быть расфасованы в одноразовые оригинальные контейнера R1 и R2, для предотвращения контаминации и не требуется переливания в дополнительные картриджи. Контейнера должны быть полностью адаптированы для реагентной карусели анализатора и снабжены специальным </w:t>
            </w:r>
            <w:proofErr w:type="gram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штрих-кодом</w:t>
            </w:r>
            <w:proofErr w:type="gram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мультисывороток</w:t>
            </w:r>
            <w:proofErr w:type="spellEnd"/>
            <w:r w:rsidRPr="001B274C">
              <w:rPr>
                <w:rFonts w:ascii="Times New Roman" w:eastAsia="Calibri" w:hAnsi="Times New Roman" w:cs="Times New Roman"/>
                <w:sz w:val="16"/>
                <w:szCs w:val="16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1B274C" w:rsidRPr="001B274C" w:rsidRDefault="001B274C" w:rsidP="001B27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274C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1B274C" w:rsidRPr="001B274C" w:rsidRDefault="00E23D3B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" w:type="pct"/>
            <w:vAlign w:val="center"/>
          </w:tcPr>
          <w:p w:rsidR="001B274C" w:rsidRPr="001B274C" w:rsidRDefault="00E23D3B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21 850</w:t>
            </w:r>
          </w:p>
        </w:tc>
        <w:tc>
          <w:tcPr>
            <w:tcW w:w="500" w:type="pct"/>
            <w:vAlign w:val="center"/>
          </w:tcPr>
          <w:p w:rsidR="001B274C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65 550</w:t>
            </w:r>
          </w:p>
        </w:tc>
      </w:tr>
      <w:tr w:rsidR="00E23D3B" w:rsidTr="00E23D3B">
        <w:trPr>
          <w:trHeight w:val="136"/>
        </w:trPr>
        <w:tc>
          <w:tcPr>
            <w:tcW w:w="355" w:type="pct"/>
          </w:tcPr>
          <w:p w:rsidR="00E23D3B" w:rsidRPr="001B274C" w:rsidRDefault="009774A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08" w:type="pct"/>
          </w:tcPr>
          <w:p w:rsidR="00E23D3B" w:rsidRPr="00E23D3B" w:rsidRDefault="00E23D3B" w:rsidP="00AF57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Диагностический набор реагентов для определения Альбумина</w:t>
            </w:r>
          </w:p>
        </w:tc>
        <w:tc>
          <w:tcPr>
            <w:tcW w:w="1704" w:type="pct"/>
          </w:tcPr>
          <w:p w:rsidR="00E23D3B" w:rsidRPr="00E23D3B" w:rsidRDefault="00E23D3B" w:rsidP="00AF57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автоматического биохимического анализатора BS-200E закрытого типа Однокомпонентный набор реагентов для определения ALB. Объем рабочего раствора не менее 160мл. Реагент должен быть расфасован в одноразовый оригинальный контейнер R1, для предотвращения контаминации и не требуется переливания в дополнительный картридж. Контейнера должны быть полностью адаптированы для </w:t>
            </w:r>
            <w:proofErr w:type="spellStart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реагентной</w:t>
            </w:r>
            <w:proofErr w:type="spellEnd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карусели анализатора и снабжены специальным </w:t>
            </w:r>
            <w:proofErr w:type="gramStart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штрих-кодом</w:t>
            </w:r>
            <w:proofErr w:type="gramEnd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полностью совместимым со встроенным сканером анализатора. Проведение процедур калибровки и контроля качества только с помощью </w:t>
            </w:r>
            <w:proofErr w:type="spellStart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мультисывороток</w:t>
            </w:r>
            <w:proofErr w:type="spellEnd"/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. Не требуется повторных процедур программирования методики в памяти анализатора и размещения контейнеров в строго определенных ячейках карусели реагентов</w:t>
            </w:r>
          </w:p>
        </w:tc>
        <w:tc>
          <w:tcPr>
            <w:tcW w:w="444" w:type="pct"/>
            <w:vAlign w:val="center"/>
          </w:tcPr>
          <w:p w:rsidR="00E23D3B" w:rsidRPr="00E23D3B" w:rsidRDefault="00E23D3B" w:rsidP="00E23D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3D3B"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E23D3B" w:rsidRDefault="00E23D3B" w:rsidP="00E23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" w:type="pct"/>
            <w:vAlign w:val="center"/>
          </w:tcPr>
          <w:p w:rsidR="00E23D3B" w:rsidRDefault="00E23D3B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17 680</w:t>
            </w:r>
          </w:p>
        </w:tc>
        <w:tc>
          <w:tcPr>
            <w:tcW w:w="500" w:type="pct"/>
            <w:vAlign w:val="center"/>
          </w:tcPr>
          <w:p w:rsidR="00E23D3B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53 040</w:t>
            </w:r>
          </w:p>
        </w:tc>
      </w:tr>
      <w:tr w:rsidR="00246053" w:rsidTr="00246053">
        <w:trPr>
          <w:trHeight w:val="136"/>
        </w:trPr>
        <w:tc>
          <w:tcPr>
            <w:tcW w:w="5000" w:type="pct"/>
            <w:gridSpan w:val="7"/>
          </w:tcPr>
          <w:p w:rsidR="00246053" w:rsidRPr="00246053" w:rsidRDefault="00246053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Ручные методики</w:t>
            </w:r>
          </w:p>
        </w:tc>
      </w:tr>
      <w:tr w:rsidR="00246053" w:rsidTr="00E23D3B">
        <w:trPr>
          <w:trHeight w:val="136"/>
        </w:trPr>
        <w:tc>
          <w:tcPr>
            <w:tcW w:w="355" w:type="pct"/>
          </w:tcPr>
          <w:p w:rsidR="00246053" w:rsidRDefault="00725A4D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8" w:type="pct"/>
          </w:tcPr>
          <w:p w:rsidR="00246053" w:rsidRPr="00E23D3B" w:rsidRDefault="00246053" w:rsidP="00AF57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6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АТ III. Набор реагентов для </w:t>
            </w:r>
            <w:r w:rsidRPr="002460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определения активности антитромбина III оптическим методом с использованием хромогенного субстрата</w:t>
            </w:r>
          </w:p>
        </w:tc>
        <w:tc>
          <w:tcPr>
            <w:tcW w:w="1704" w:type="pct"/>
          </w:tcPr>
          <w:p w:rsidR="00246053" w:rsidRPr="00E23D3B" w:rsidRDefault="003E27A0" w:rsidP="00AF57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40-200</w:t>
            </w:r>
          </w:p>
        </w:tc>
        <w:tc>
          <w:tcPr>
            <w:tcW w:w="444" w:type="pct"/>
            <w:vAlign w:val="center"/>
          </w:tcPr>
          <w:p w:rsidR="00246053" w:rsidRPr="00E23D3B" w:rsidRDefault="003E27A0" w:rsidP="00E23D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71" w:type="pct"/>
            <w:vAlign w:val="center"/>
          </w:tcPr>
          <w:p w:rsidR="00246053" w:rsidRDefault="003E27A0" w:rsidP="00E23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8" w:type="pct"/>
            <w:vAlign w:val="center"/>
          </w:tcPr>
          <w:p w:rsidR="00246053" w:rsidRDefault="003E27A0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</w:t>
            </w:r>
          </w:p>
        </w:tc>
        <w:tc>
          <w:tcPr>
            <w:tcW w:w="500" w:type="pct"/>
            <w:vAlign w:val="center"/>
          </w:tcPr>
          <w:p w:rsidR="00246053" w:rsidRPr="00246053" w:rsidRDefault="003E27A0" w:rsidP="001B27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108 000</w:t>
            </w:r>
          </w:p>
        </w:tc>
      </w:tr>
    </w:tbl>
    <w:p w:rsidR="004E03B1" w:rsidRDefault="009C5FF2" w:rsidP="00C06ACF">
      <w:pPr>
        <w:ind w:left="-851" w:right="283" w:firstLine="85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12 114 350 тенге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1.</w:t>
      </w:r>
      <w:r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  <w:t>Начало предоставления ценовых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с  09 00ч. 00 мин 14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>
        <w:rPr>
          <w:rFonts w:ascii="Times New Roman" w:hAnsi="Times New Roman" w:cs="Times New Roman"/>
          <w:sz w:val="28"/>
          <w:szCs w:val="28"/>
        </w:rPr>
        <w:t>09:00ч. 00 мин 23</w:t>
      </w:r>
      <w:r w:rsidRPr="00CA13A0">
        <w:rPr>
          <w:rFonts w:ascii="Times New Roman" w:hAnsi="Times New Roman" w:cs="Times New Roman"/>
          <w:sz w:val="28"/>
          <w:szCs w:val="28"/>
        </w:rPr>
        <w:t>.02.2022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4.</w:t>
      </w:r>
      <w:r w:rsidRPr="00CA13A0">
        <w:rPr>
          <w:rFonts w:ascii="Times New Roman" w:hAnsi="Times New Roman" w:cs="Times New Roman"/>
          <w:sz w:val="28"/>
          <w:szCs w:val="28"/>
        </w:rPr>
        <w:tab/>
        <w:t>Место и дата вскрытия конвертов с ценовыми предложениями: конверты с ценовыми пре</w:t>
      </w:r>
      <w:r>
        <w:rPr>
          <w:rFonts w:ascii="Times New Roman" w:hAnsi="Times New Roman" w:cs="Times New Roman"/>
          <w:sz w:val="28"/>
          <w:szCs w:val="28"/>
        </w:rPr>
        <w:t>дложениями будут вскрываться в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A13A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 ч. 23</w:t>
      </w:r>
      <w:r w:rsidRPr="00CA13A0">
        <w:rPr>
          <w:rFonts w:ascii="Times New Roman" w:hAnsi="Times New Roman" w:cs="Times New Roman"/>
          <w:sz w:val="28"/>
          <w:szCs w:val="28"/>
        </w:rPr>
        <w:t xml:space="preserve">.02.2022 г. по следующему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аптека.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5.</w:t>
      </w:r>
      <w:r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CA13A0">
          <w:rPr>
            <w:rStyle w:val="a6"/>
            <w:rFonts w:ascii="Times New Roman" w:hAnsi="Times New Roman" w:cs="Times New Roman"/>
            <w:b/>
            <w:sz w:val="28"/>
            <w:szCs w:val="28"/>
          </w:rPr>
          <w:t>главой 4</w:t>
        </w:r>
      </w:hyperlink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> настоящих Правил, а также</w:t>
      </w:r>
      <w:proofErr w:type="gramEnd"/>
      <w:r w:rsidRPr="00CA13A0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описание и объем фармацевтических услуг.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 xml:space="preserve">Ответственное лицо ____________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Чукуева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К.Е</w:t>
      </w:r>
    </w:p>
    <w:p w:rsidR="00B72F8B" w:rsidRDefault="00B72F8B" w:rsidP="00C06ACF">
      <w:pPr>
        <w:ind w:left="-851" w:right="283" w:firstLine="85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sectPr w:rsidR="00B72F8B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41670-6973-4D90-88AA-E90BA72D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3246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2</cp:revision>
  <cp:lastPrinted>2017-10-05T09:06:00Z</cp:lastPrinted>
  <dcterms:created xsi:type="dcterms:W3CDTF">2022-02-11T10:16:00Z</dcterms:created>
  <dcterms:modified xsi:type="dcterms:W3CDTF">2022-02-11T10:16:00Z</dcterms:modified>
</cp:coreProperties>
</file>