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1C" w:rsidRDefault="00EC7A1C" w:rsidP="00EC7A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7A1C" w:rsidRPr="00CA13A0" w:rsidRDefault="00EC7A1C" w:rsidP="00EC7A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Объявление №7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11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EC7A1C" w:rsidRPr="00CA13A0" w:rsidRDefault="00EC7A1C" w:rsidP="00EC7A1C">
      <w:pPr>
        <w:rPr>
          <w:rFonts w:ascii="Times New Roman" w:hAnsi="Times New Roman" w:cs="Times New Roman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</w:p>
    <w:p w:rsidR="00EC7A1C" w:rsidRPr="00CA13A0" w:rsidRDefault="00EC7A1C" w:rsidP="00EC7A1C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Pr="00EC7A1C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на Картриджи для оптического анализатора коагуляции OCG-102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Default="00EC7A1C" w:rsidP="00EC7A1C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район,село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Курчум, ул</w:t>
      </w:r>
      <w:proofErr w:type="gramStart"/>
      <w:r w:rsidRPr="00CA13A0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A13A0">
        <w:rPr>
          <w:rFonts w:ascii="Times New Roman" w:hAnsi="Times New Roman" w:cs="Times New Roman"/>
          <w:b/>
          <w:sz w:val="24"/>
          <w:szCs w:val="24"/>
        </w:rPr>
        <w:t>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EC7A1C" w:rsidRPr="00EC7A1C" w:rsidRDefault="00EC7A1C" w:rsidP="00EC7A1C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D25E87" w:rsidTr="00D25E87">
        <w:tc>
          <w:tcPr>
            <w:tcW w:w="355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D25E87"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08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704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4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371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0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C62EC2" w:rsidTr="002744C6">
        <w:tc>
          <w:tcPr>
            <w:tcW w:w="355" w:type="pct"/>
            <w:vAlign w:val="center"/>
          </w:tcPr>
          <w:p w:rsidR="00C62EC2" w:rsidRPr="00D25E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8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</w:t>
            </w:r>
            <w:proofErr w:type="spell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протромбинового</w:t>
            </w:r>
            <w:proofErr w:type="spell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времени</w:t>
            </w:r>
          </w:p>
        </w:tc>
        <w:tc>
          <w:tcPr>
            <w:tcW w:w="1704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пластиковая тест-полоска для количественного определения </w:t>
            </w:r>
            <w:proofErr w:type="spell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протромбинового</w:t>
            </w:r>
            <w:proofErr w:type="spell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времени и МНО в цельной цитратной крови.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тест-полоске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444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C62EC2" w:rsidRPr="005C6187" w:rsidRDefault="00C62EC2" w:rsidP="00A06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8" w:type="pct"/>
            <w:vAlign w:val="center"/>
          </w:tcPr>
          <w:p w:rsidR="00C62EC2" w:rsidRPr="005C6187" w:rsidRDefault="00C62EC2" w:rsidP="00A06105">
            <w:pPr>
              <w:spacing w:before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34000</w:t>
            </w:r>
          </w:p>
        </w:tc>
        <w:tc>
          <w:tcPr>
            <w:tcW w:w="500" w:type="pct"/>
            <w:vAlign w:val="center"/>
          </w:tcPr>
          <w:p w:rsidR="00C62EC2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1020000</w:t>
            </w:r>
          </w:p>
        </w:tc>
      </w:tr>
      <w:tr w:rsidR="00C62EC2" w:rsidTr="002744C6">
        <w:tc>
          <w:tcPr>
            <w:tcW w:w="355" w:type="pct"/>
            <w:vAlign w:val="center"/>
          </w:tcPr>
          <w:p w:rsidR="00C62EC2" w:rsidRPr="00D25E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8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концентрации фибриногена</w:t>
            </w:r>
          </w:p>
        </w:tc>
        <w:tc>
          <w:tcPr>
            <w:tcW w:w="1704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пластиковая тест-полоска для количественного определения концентрации фибриногена в цельной цитратной крови.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тест-полоске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4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C62EC2" w:rsidRPr="005C6187" w:rsidRDefault="00C62EC2" w:rsidP="00A06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8" w:type="pct"/>
            <w:vAlign w:val="center"/>
          </w:tcPr>
          <w:p w:rsidR="00C62EC2" w:rsidRPr="005C6187" w:rsidRDefault="00C62EC2" w:rsidP="00A06105">
            <w:pPr>
              <w:spacing w:before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36500</w:t>
            </w:r>
          </w:p>
        </w:tc>
        <w:tc>
          <w:tcPr>
            <w:tcW w:w="500" w:type="pct"/>
            <w:vAlign w:val="center"/>
          </w:tcPr>
          <w:p w:rsidR="00C62EC2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547500</w:t>
            </w:r>
          </w:p>
        </w:tc>
      </w:tr>
      <w:tr w:rsidR="00C62EC2" w:rsidTr="002744C6">
        <w:tc>
          <w:tcPr>
            <w:tcW w:w="355" w:type="pct"/>
            <w:vAlign w:val="center"/>
          </w:tcPr>
          <w:p w:rsidR="00C62EC2" w:rsidRPr="00D25E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8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АПТВ</w:t>
            </w:r>
          </w:p>
        </w:tc>
        <w:tc>
          <w:tcPr>
            <w:tcW w:w="1704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пластиковая тест-полоска для количественного определения АПТВ в цельной цитратной крови.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тест-полоске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4" w:type="pct"/>
          </w:tcPr>
          <w:p w:rsidR="00C62EC2" w:rsidRPr="004A2857" w:rsidRDefault="00C62EC2" w:rsidP="00A061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C62EC2" w:rsidRPr="005C6187" w:rsidRDefault="00C62EC2" w:rsidP="00A06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8" w:type="pct"/>
            <w:vAlign w:val="center"/>
          </w:tcPr>
          <w:p w:rsidR="00C62EC2" w:rsidRPr="005C6187" w:rsidRDefault="00C62EC2" w:rsidP="00A06105">
            <w:pPr>
              <w:spacing w:before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34000</w:t>
            </w:r>
          </w:p>
        </w:tc>
        <w:tc>
          <w:tcPr>
            <w:tcW w:w="500" w:type="pct"/>
            <w:vAlign w:val="center"/>
          </w:tcPr>
          <w:p w:rsidR="00C62EC2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1020000</w:t>
            </w:r>
          </w:p>
        </w:tc>
      </w:tr>
      <w:tr w:rsidR="00DD281A" w:rsidTr="00DD281A">
        <w:trPr>
          <w:trHeight w:val="136"/>
        </w:trPr>
        <w:tc>
          <w:tcPr>
            <w:tcW w:w="5000" w:type="pct"/>
            <w:gridSpan w:val="7"/>
          </w:tcPr>
          <w:p w:rsidR="00DD281A" w:rsidRPr="001C4804" w:rsidRDefault="001C4804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Тест-карты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анализатора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Finecare</w:t>
            </w:r>
            <w:proofErr w:type="spellEnd"/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FIA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Meter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Plus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C4804" w:rsidTr="00956FD2">
        <w:trPr>
          <w:trHeight w:val="136"/>
        </w:trPr>
        <w:tc>
          <w:tcPr>
            <w:tcW w:w="355" w:type="pct"/>
          </w:tcPr>
          <w:p w:rsidR="001C4804" w:rsidRPr="001C4804" w:rsidRDefault="001C4804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108" w:type="pct"/>
            <w:vAlign w:val="center"/>
          </w:tcPr>
          <w:p w:rsidR="001C4804" w:rsidRPr="001C4804" w:rsidRDefault="001C4804" w:rsidP="001B2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(HbA1c) Hemoglobin A1c Rapid Quantitative Test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гликированный</w:t>
            </w:r>
            <w:proofErr w:type="spellEnd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гемоглобин</w:t>
            </w:r>
          </w:p>
        </w:tc>
        <w:tc>
          <w:tcPr>
            <w:tcW w:w="1704" w:type="pct"/>
            <w:vAlign w:val="center"/>
          </w:tcPr>
          <w:p w:rsidR="001C4804" w:rsidRPr="001C4804" w:rsidRDefault="001C4804" w:rsidP="00956F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Быстрый количественный экспрес</w:t>
            </w:r>
            <w:proofErr w:type="gram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с-</w:t>
            </w:r>
            <w:proofErr w:type="gram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тест на HbA1c  для портативного флуоресцентного анализатора </w:t>
            </w:r>
            <w:proofErr w:type="spell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444" w:type="pct"/>
            <w:vAlign w:val="center"/>
          </w:tcPr>
          <w:p w:rsidR="001C4804" w:rsidRPr="00D25E87" w:rsidRDefault="001C4804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1C4804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518" w:type="pct"/>
            <w:vAlign w:val="center"/>
          </w:tcPr>
          <w:p w:rsidR="001C4804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65200</w:t>
            </w:r>
          </w:p>
        </w:tc>
        <w:tc>
          <w:tcPr>
            <w:tcW w:w="500" w:type="pct"/>
            <w:vAlign w:val="center"/>
          </w:tcPr>
          <w:p w:rsidR="001C4804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586800</w:t>
            </w:r>
          </w:p>
        </w:tc>
      </w:tr>
      <w:tr w:rsidR="009765CB" w:rsidTr="00956FD2">
        <w:trPr>
          <w:trHeight w:val="136"/>
        </w:trPr>
        <w:tc>
          <w:tcPr>
            <w:tcW w:w="355" w:type="pct"/>
          </w:tcPr>
          <w:p w:rsidR="009765CB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8" w:type="pct"/>
            <w:vAlign w:val="center"/>
          </w:tcPr>
          <w:p w:rsidR="009765CB" w:rsidRPr="005F65F5" w:rsidRDefault="009765CB" w:rsidP="00976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Dimer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Rapid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Quantitative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Test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D-Dimer</w:t>
            </w:r>
          </w:p>
        </w:tc>
        <w:tc>
          <w:tcPr>
            <w:tcW w:w="1704" w:type="pct"/>
            <w:vAlign w:val="center"/>
          </w:tcPr>
          <w:p w:rsidR="009765CB" w:rsidRPr="001C4804" w:rsidRDefault="009765CB" w:rsidP="00956F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Быстрый количественный экспресс-тест на D-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Dimer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анализатора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444" w:type="pct"/>
            <w:vAlign w:val="center"/>
          </w:tcPr>
          <w:p w:rsidR="009765CB" w:rsidRPr="009765CB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9765CB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8" w:type="pct"/>
            <w:vAlign w:val="center"/>
          </w:tcPr>
          <w:p w:rsidR="009765CB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91400</w:t>
            </w:r>
          </w:p>
        </w:tc>
        <w:tc>
          <w:tcPr>
            <w:tcW w:w="500" w:type="pct"/>
            <w:vAlign w:val="center"/>
          </w:tcPr>
          <w:p w:rsidR="009765CB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1645200</w:t>
            </w:r>
          </w:p>
        </w:tc>
      </w:tr>
      <w:tr w:rsidR="009765CB" w:rsidTr="00956FD2">
        <w:trPr>
          <w:trHeight w:val="136"/>
        </w:trPr>
        <w:tc>
          <w:tcPr>
            <w:tcW w:w="355" w:type="pct"/>
          </w:tcPr>
          <w:p w:rsidR="009765CB" w:rsidRPr="00C62EC2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8" w:type="pct"/>
            <w:vAlign w:val="center"/>
          </w:tcPr>
          <w:p w:rsidR="009765CB" w:rsidRPr="009765CB" w:rsidRDefault="009765CB" w:rsidP="00976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Procalcitonin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Rapid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Quantitative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Test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прокальцитонин</w:t>
            </w:r>
            <w:proofErr w:type="spellEnd"/>
          </w:p>
        </w:tc>
        <w:tc>
          <w:tcPr>
            <w:tcW w:w="1704" w:type="pct"/>
            <w:vAlign w:val="center"/>
          </w:tcPr>
          <w:p w:rsidR="009765CB" w:rsidRPr="001C4804" w:rsidRDefault="009765CB" w:rsidP="00C62E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Быстрый количественный экспресс-тест на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PCT</w:t>
            </w: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для портативного флуоресцентного </w:t>
            </w: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анализатора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444" w:type="pct"/>
            <w:vAlign w:val="center"/>
          </w:tcPr>
          <w:p w:rsidR="009765CB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9765CB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8" w:type="pct"/>
            <w:vAlign w:val="center"/>
          </w:tcPr>
          <w:p w:rsidR="009765CB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95800</w:t>
            </w:r>
          </w:p>
        </w:tc>
        <w:tc>
          <w:tcPr>
            <w:tcW w:w="500" w:type="pct"/>
            <w:vAlign w:val="center"/>
          </w:tcPr>
          <w:p w:rsidR="009765CB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1437000</w:t>
            </w:r>
          </w:p>
        </w:tc>
      </w:tr>
      <w:tr w:rsidR="009765CB" w:rsidTr="00956FD2">
        <w:trPr>
          <w:trHeight w:val="136"/>
        </w:trPr>
        <w:tc>
          <w:tcPr>
            <w:tcW w:w="355" w:type="pct"/>
          </w:tcPr>
          <w:p w:rsidR="009765CB" w:rsidRPr="00C62EC2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108" w:type="pct"/>
            <w:vAlign w:val="center"/>
          </w:tcPr>
          <w:p w:rsidR="009765CB" w:rsidRPr="009765CB" w:rsidRDefault="009765CB" w:rsidP="00976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Troponin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Rapid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Quantitative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Test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</w:t>
            </w:r>
            <w:proofErr w:type="spellEnd"/>
          </w:p>
        </w:tc>
        <w:tc>
          <w:tcPr>
            <w:tcW w:w="1704" w:type="pct"/>
            <w:vAlign w:val="center"/>
          </w:tcPr>
          <w:p w:rsidR="009765CB" w:rsidRPr="001C4804" w:rsidRDefault="009765CB" w:rsidP="00956F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Быстрый количественный экспресс-тест на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cTnI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для портативного флуоресцентного анализатора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444" w:type="pct"/>
            <w:vAlign w:val="center"/>
          </w:tcPr>
          <w:p w:rsidR="009765CB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9765CB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:rsidR="009765CB" w:rsidRPr="005C61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103200</w:t>
            </w:r>
          </w:p>
        </w:tc>
        <w:tc>
          <w:tcPr>
            <w:tcW w:w="500" w:type="pct"/>
            <w:vAlign w:val="center"/>
          </w:tcPr>
          <w:p w:rsidR="009765CB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309600</w:t>
            </w:r>
          </w:p>
        </w:tc>
      </w:tr>
      <w:tr w:rsidR="009765CB" w:rsidTr="001C4804">
        <w:trPr>
          <w:trHeight w:val="136"/>
        </w:trPr>
        <w:tc>
          <w:tcPr>
            <w:tcW w:w="5000" w:type="pct"/>
            <w:gridSpan w:val="7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Тест—карты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анализатора критических состояний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Ерос</w:t>
            </w:r>
            <w:proofErr w:type="spellEnd"/>
          </w:p>
        </w:tc>
      </w:tr>
      <w:tr w:rsidR="009765CB" w:rsidTr="00956FD2">
        <w:trPr>
          <w:trHeight w:val="136"/>
        </w:trPr>
        <w:tc>
          <w:tcPr>
            <w:tcW w:w="355" w:type="pct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8" w:type="pct"/>
            <w:vAlign w:val="center"/>
          </w:tcPr>
          <w:p w:rsidR="009765CB" w:rsidRPr="00DE6E28" w:rsidRDefault="009765CB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Тест-карты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портативного анализатора критических состояний</w:t>
            </w:r>
          </w:p>
        </w:tc>
        <w:tc>
          <w:tcPr>
            <w:tcW w:w="1704" w:type="pct"/>
            <w:vAlign w:val="center"/>
          </w:tcPr>
          <w:p w:rsidR="009765CB" w:rsidRPr="005E4E91" w:rsidRDefault="009765CB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Специальные </w:t>
            </w: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тест-карты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модели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BGEM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автоматического портативного анализатора газов, электролитов и метаболитов крови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Epoc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Определяемые параметры: измеряемые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рСО</w:t>
            </w: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рО2,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Hct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Glu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Lac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Crea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расчетные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cHCO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ecf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cSO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ClcTCO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AGap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AGapK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cHgb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eGFR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eGFR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Упаковка</w:t>
            </w:r>
            <w:proofErr w:type="spellEnd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50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тест-карт</w:t>
            </w:r>
            <w:proofErr w:type="spellEnd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44" w:type="pct"/>
            <w:vAlign w:val="center"/>
          </w:tcPr>
          <w:p w:rsidR="009765CB" w:rsidRPr="004F2F47" w:rsidRDefault="009765CB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9765CB" w:rsidRPr="009765CB" w:rsidRDefault="009765CB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9765CB" w:rsidRPr="00D25E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396 000</w:t>
            </w:r>
          </w:p>
        </w:tc>
        <w:tc>
          <w:tcPr>
            <w:tcW w:w="500" w:type="pct"/>
            <w:vAlign w:val="center"/>
          </w:tcPr>
          <w:p w:rsidR="009765CB" w:rsidRPr="005C6187" w:rsidRDefault="005C6187" w:rsidP="005C61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1584000</w:t>
            </w:r>
          </w:p>
        </w:tc>
      </w:tr>
      <w:tr w:rsidR="009765CB" w:rsidTr="00956FD2">
        <w:trPr>
          <w:trHeight w:val="136"/>
        </w:trPr>
        <w:tc>
          <w:tcPr>
            <w:tcW w:w="355" w:type="pct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8" w:type="pct"/>
            <w:vAlign w:val="center"/>
          </w:tcPr>
          <w:p w:rsidR="009765CB" w:rsidRPr="00DE6E28" w:rsidRDefault="009765CB" w:rsidP="004F2F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Шприцы с сухим гепарином для анализатора газов </w:t>
            </w:r>
          </w:p>
        </w:tc>
        <w:tc>
          <w:tcPr>
            <w:tcW w:w="1704" w:type="pct"/>
            <w:vAlign w:val="center"/>
          </w:tcPr>
          <w:p w:rsidR="009765CB" w:rsidRPr="004F2F47" w:rsidRDefault="009765CB" w:rsidP="004F2F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Гепариновые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шприцы для забора венозной или артериальной </w:t>
            </w: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крови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предназначенные для переноса биоматериалов в портативный анализатор критический состояний. </w:t>
            </w:r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В </w:t>
            </w:r>
            <w:proofErr w:type="spellStart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упаковке</w:t>
            </w:r>
            <w:proofErr w:type="spellEnd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50 </w:t>
            </w:r>
            <w:proofErr w:type="spellStart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 Объем 2 мл</w:t>
            </w:r>
          </w:p>
        </w:tc>
        <w:tc>
          <w:tcPr>
            <w:tcW w:w="444" w:type="pct"/>
            <w:vAlign w:val="center"/>
          </w:tcPr>
          <w:p w:rsidR="009765CB" w:rsidRPr="004F2F47" w:rsidRDefault="009765CB" w:rsidP="004F2F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:rsidR="009765CB" w:rsidRPr="00D25E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9765CB" w:rsidRPr="00D25E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</w:t>
            </w:r>
          </w:p>
        </w:tc>
        <w:tc>
          <w:tcPr>
            <w:tcW w:w="500" w:type="pct"/>
            <w:vAlign w:val="center"/>
          </w:tcPr>
          <w:p w:rsidR="009765CB" w:rsidRPr="005C6187" w:rsidRDefault="005C6187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127600</w:t>
            </w:r>
          </w:p>
        </w:tc>
      </w:tr>
      <w:tr w:rsidR="009765CB" w:rsidTr="001B274C">
        <w:trPr>
          <w:trHeight w:val="136"/>
        </w:trPr>
        <w:tc>
          <w:tcPr>
            <w:tcW w:w="355" w:type="pct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pct"/>
            <w:vAlign w:val="center"/>
          </w:tcPr>
          <w:p w:rsidR="009765CB" w:rsidRPr="00D25E87" w:rsidRDefault="009765CB" w:rsidP="001B27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4" w:type="pct"/>
          </w:tcPr>
          <w:p w:rsidR="009765CB" w:rsidRPr="00D25E87" w:rsidRDefault="009765CB" w:rsidP="00A20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vAlign w:val="center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9765CB" w:rsidRPr="00D25E87" w:rsidRDefault="009765C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E03B1" w:rsidRDefault="005F65F5" w:rsidP="005F65F5">
      <w:pPr>
        <w:ind w:left="-851" w:right="283" w:firstLine="851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8 277 700 тг</w:t>
      </w: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с  09 00ч. 00 мин 14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>
        <w:rPr>
          <w:rFonts w:ascii="Times New Roman" w:hAnsi="Times New Roman" w:cs="Times New Roman"/>
          <w:sz w:val="28"/>
          <w:szCs w:val="28"/>
        </w:rPr>
        <w:t>09:00ч. 00 мин 23</w:t>
      </w:r>
      <w:r w:rsidRPr="00CA13A0">
        <w:rPr>
          <w:rFonts w:ascii="Times New Roman" w:hAnsi="Times New Roman" w:cs="Times New Roman"/>
          <w:sz w:val="28"/>
          <w:szCs w:val="28"/>
        </w:rPr>
        <w:t>.02.2022 г</w:t>
      </w: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>дложениями будут вскрываться в 10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 ч. 23</w:t>
      </w:r>
      <w:r w:rsidRPr="00CA13A0">
        <w:rPr>
          <w:rFonts w:ascii="Times New Roman" w:hAnsi="Times New Roman" w:cs="Times New Roman"/>
          <w:sz w:val="28"/>
          <w:szCs w:val="28"/>
        </w:rPr>
        <w:t xml:space="preserve">.02.2022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EC7A1C" w:rsidRPr="00CA13A0" w:rsidRDefault="00EC7A1C" w:rsidP="00EC7A1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Конверт содержит ценовое </w:t>
      </w:r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CA13A0">
          <w:rPr>
            <w:rStyle w:val="a6"/>
            <w:rFonts w:ascii="Times New Roman" w:hAnsi="Times New Roman" w:cs="Times New Roman"/>
            <w:b/>
            <w:sz w:val="28"/>
            <w:szCs w:val="28"/>
          </w:rPr>
          <w:t>главой 4</w:t>
        </w:r>
      </w:hyperlink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 настоящих Правил, а также</w:t>
      </w:r>
      <w:proofErr w:type="gramEnd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описание и объем фармацевтических услуг.</w:t>
      </w: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К.Е</w:t>
      </w:r>
    </w:p>
    <w:p w:rsidR="00EC7A1C" w:rsidRDefault="00EC7A1C" w:rsidP="00EC7A1C">
      <w:pPr>
        <w:rPr>
          <w:rFonts w:ascii="Times New Roman" w:hAnsi="Times New Roman" w:cs="Times New Roman"/>
          <w:sz w:val="28"/>
          <w:szCs w:val="28"/>
        </w:rPr>
      </w:pPr>
    </w:p>
    <w:p w:rsidR="005C6187" w:rsidRDefault="005C6187" w:rsidP="00861338">
      <w:pPr>
        <w:rPr>
          <w:rFonts w:ascii="Times New Roman" w:hAnsi="Times New Roman" w:cs="Times New Roman"/>
          <w:sz w:val="28"/>
          <w:szCs w:val="28"/>
        </w:rPr>
      </w:pPr>
    </w:p>
    <w:sectPr w:rsidR="005C6187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6C1C"/>
    <w:rsid w:val="005E6C30"/>
    <w:rsid w:val="005F5BDC"/>
    <w:rsid w:val="005F65F5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65CB"/>
    <w:rsid w:val="009959EA"/>
    <w:rsid w:val="009A5B83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B1349C"/>
    <w:rsid w:val="00B25F58"/>
    <w:rsid w:val="00B413B5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62EC2"/>
    <w:rsid w:val="00CA721E"/>
    <w:rsid w:val="00CB1A9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C7A1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B948-827C-4BD7-8252-D60B744A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2022-02-11T10:13:00Z</dcterms:created>
  <dcterms:modified xsi:type="dcterms:W3CDTF">2022-02-11T10:13:00Z</dcterms:modified>
</cp:coreProperties>
</file>