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77" w:rsidRPr="00761E77" w:rsidRDefault="00761E77" w:rsidP="00761E77">
      <w:pPr>
        <w:rPr>
          <w:b/>
        </w:rPr>
      </w:pPr>
      <w:r w:rsidRPr="00761E77">
        <w:rPr>
          <w:b/>
        </w:rPr>
        <w:t>Объявление №2</w:t>
      </w:r>
      <w:r>
        <w:rPr>
          <w:b/>
          <w:lang w:val="en-US"/>
        </w:rPr>
        <w:t>4</w:t>
      </w:r>
      <w:r w:rsidRPr="00761E77">
        <w:rPr>
          <w:b/>
        </w:rPr>
        <w:t xml:space="preserve">  от 25.05.2021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"Районная больница </w:t>
      </w:r>
      <w:proofErr w:type="spellStart"/>
      <w:r w:rsidRPr="00761E77">
        <w:rPr>
          <w:b/>
        </w:rPr>
        <w:t>Курчумского</w:t>
      </w:r>
      <w:proofErr w:type="spellEnd"/>
      <w:r w:rsidRPr="00761E77">
        <w:rPr>
          <w:b/>
        </w:rPr>
        <w:t xml:space="preserve"> района" Управления здравоохранения ВКО расположенный по адресу: 071200, ВКО, </w:t>
      </w:r>
      <w:proofErr w:type="spellStart"/>
      <w:r w:rsidRPr="00761E77">
        <w:rPr>
          <w:b/>
        </w:rPr>
        <w:t>Курчумский</w:t>
      </w:r>
      <w:proofErr w:type="spellEnd"/>
      <w:r w:rsidRPr="00761E77">
        <w:rPr>
          <w:b/>
        </w:rPr>
        <w:t xml:space="preserve"> район, с. Курчум, </w:t>
      </w:r>
      <w:proofErr w:type="spellStart"/>
      <w:proofErr w:type="gramStart"/>
      <w:r w:rsidRPr="00761E77">
        <w:rPr>
          <w:b/>
        </w:rPr>
        <w:t>ул</w:t>
      </w:r>
      <w:proofErr w:type="spellEnd"/>
      <w:proofErr w:type="gramEnd"/>
      <w:r w:rsidRPr="00761E77">
        <w:rPr>
          <w:b/>
        </w:rPr>
        <w:t xml:space="preserve"> Захарова, 1А  объявляет о проведении  закупа способом запроса ценовых предложений </w:t>
      </w:r>
    </w:p>
    <w:p w:rsidR="00761E77" w:rsidRPr="00761E77" w:rsidRDefault="00761E77" w:rsidP="00761E77">
      <w:pPr>
        <w:rPr>
          <w:b/>
        </w:rPr>
      </w:pPr>
      <w:r>
        <w:rPr>
          <w:b/>
        </w:rPr>
        <w:t xml:space="preserve">на </w:t>
      </w:r>
      <w:r>
        <w:rPr>
          <w:b/>
        </w:rPr>
        <w:t xml:space="preserve">Тест-полосы для мочевого анализатора </w:t>
      </w:r>
      <w:proofErr w:type="spellStart"/>
      <w:r>
        <w:rPr>
          <w:b/>
        </w:rPr>
        <w:t>Eleven</w:t>
      </w:r>
      <w:proofErr w:type="spellEnd"/>
      <w:r w:rsidRPr="00761E77">
        <w:rPr>
          <w:b/>
        </w:rPr>
        <w:t xml:space="preserve"> </w:t>
      </w:r>
      <w:r w:rsidRPr="00761E77">
        <w:rPr>
          <w:b/>
        </w:rPr>
        <w:t>принадлежности по следующим лоту:</w:t>
      </w:r>
      <w:bookmarkStart w:id="0" w:name="_GoBack"/>
      <w:bookmarkEnd w:id="0"/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22"/>
        <w:gridCol w:w="3675"/>
        <w:gridCol w:w="1020"/>
        <w:gridCol w:w="985"/>
        <w:gridCol w:w="1398"/>
        <w:gridCol w:w="1010"/>
      </w:tblGrid>
      <w:tr w:rsidR="00531B06" w:rsidRPr="00792957" w:rsidTr="00761E77">
        <w:trPr>
          <w:trHeight w:val="987"/>
        </w:trPr>
        <w:tc>
          <w:tcPr>
            <w:tcW w:w="709" w:type="dxa"/>
            <w:shd w:val="clear" w:color="auto" w:fill="auto"/>
            <w:vAlign w:val="center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  <w:r w:rsidRPr="00792957">
              <w:rPr>
                <w:b/>
                <w:lang w:val="en-US"/>
              </w:rPr>
              <w:t xml:space="preserve">№ </w:t>
            </w:r>
            <w:proofErr w:type="spellStart"/>
            <w:r w:rsidRPr="00792957">
              <w:rPr>
                <w:b/>
                <w:lang w:val="en-US"/>
              </w:rPr>
              <w:t>лота</w:t>
            </w:r>
            <w:proofErr w:type="spellEnd"/>
          </w:p>
        </w:tc>
        <w:tc>
          <w:tcPr>
            <w:tcW w:w="1822" w:type="dxa"/>
            <w:shd w:val="clear" w:color="auto" w:fill="auto"/>
            <w:vAlign w:val="center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Наименование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Техническая спецификация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  <w:proofErr w:type="spellStart"/>
            <w:r w:rsidRPr="00792957">
              <w:rPr>
                <w:b/>
              </w:rPr>
              <w:t>Ед-цыизм-ия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</w:p>
          <w:p w:rsidR="00531B06" w:rsidRPr="00792957" w:rsidRDefault="00531B06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Кол-во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 xml:space="preserve">Цена за             </w:t>
            </w:r>
            <w:proofErr w:type="spellStart"/>
            <w:r w:rsidRPr="00792957">
              <w:rPr>
                <w:b/>
              </w:rPr>
              <w:t>ед-цу</w:t>
            </w:r>
            <w:proofErr w:type="spellEnd"/>
            <w:r w:rsidRPr="00792957">
              <w:rPr>
                <w:b/>
              </w:rPr>
              <w:t xml:space="preserve"> в тенге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31B06" w:rsidRPr="00792957" w:rsidRDefault="00531B06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Сумма в тенге</w:t>
            </w:r>
          </w:p>
        </w:tc>
      </w:tr>
      <w:tr w:rsidR="00531B06" w:rsidTr="00761E77">
        <w:trPr>
          <w:trHeight w:val="5286"/>
        </w:trPr>
        <w:tc>
          <w:tcPr>
            <w:tcW w:w="709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>Тест-полоски для мочевых исследований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31B06" w:rsidRDefault="00531B06" w:rsidP="00575F5E">
            <w:pPr>
              <w:jc w:val="both"/>
            </w:pPr>
            <w:r w:rsidRPr="00792957">
              <w:rPr>
                <w:sz w:val="22"/>
                <w:szCs w:val="20"/>
              </w:rPr>
              <w:t xml:space="preserve">Тест-полосы для мочевых исследований на анализаторе. Фасовка: не менее 100 тест-полосок в одной тубе. Определение не менее 10 </w:t>
            </w:r>
            <w:proofErr w:type="spellStart"/>
            <w:r w:rsidRPr="00792957">
              <w:rPr>
                <w:sz w:val="22"/>
                <w:szCs w:val="20"/>
              </w:rPr>
              <w:t>аналитов</w:t>
            </w:r>
            <w:proofErr w:type="spellEnd"/>
            <w:r w:rsidRPr="00792957">
              <w:rPr>
                <w:sz w:val="22"/>
                <w:szCs w:val="20"/>
              </w:rPr>
              <w:t xml:space="preserve">. Время определения результата по всем </w:t>
            </w:r>
            <w:proofErr w:type="spellStart"/>
            <w:r w:rsidRPr="00792957">
              <w:rPr>
                <w:sz w:val="22"/>
                <w:szCs w:val="20"/>
              </w:rPr>
              <w:t>аналитам</w:t>
            </w:r>
            <w:proofErr w:type="spellEnd"/>
            <w:r w:rsidRPr="00792957">
              <w:rPr>
                <w:sz w:val="22"/>
                <w:szCs w:val="20"/>
              </w:rPr>
              <w:t xml:space="preserve"> не более 60 секунд. Строгая последовательность расположения тестовых зон по каждому определяемому </w:t>
            </w:r>
            <w:proofErr w:type="spellStart"/>
            <w:r w:rsidRPr="00792957">
              <w:rPr>
                <w:sz w:val="22"/>
                <w:szCs w:val="20"/>
              </w:rPr>
              <w:t>аналиту</w:t>
            </w:r>
            <w:proofErr w:type="spellEnd"/>
            <w:r w:rsidRPr="00792957">
              <w:rPr>
                <w:sz w:val="22"/>
                <w:szCs w:val="20"/>
              </w:rPr>
              <w:t xml:space="preserve">.  Каждая полоска должна оснащаться идентификационной зоной для совместимости с анализатором. Высокая чувствительность при определении каждого </w:t>
            </w:r>
            <w:proofErr w:type="spellStart"/>
            <w:r w:rsidRPr="00792957">
              <w:rPr>
                <w:sz w:val="22"/>
                <w:szCs w:val="20"/>
              </w:rPr>
              <w:t>аналита</w:t>
            </w:r>
            <w:proofErr w:type="spellEnd"/>
            <w:r w:rsidRPr="00792957">
              <w:rPr>
                <w:sz w:val="22"/>
                <w:szCs w:val="20"/>
              </w:rPr>
              <w:t xml:space="preserve">. Диапазоны определения: глюкоза </w:t>
            </w:r>
            <w:r w:rsidRPr="00792957">
              <w:rPr>
                <w:rFonts w:cs="Calibri"/>
                <w:sz w:val="22"/>
                <w:szCs w:val="20"/>
              </w:rPr>
              <w:t>50-1000 мг/дл, белок15-1000 мг/дл, билирубин  0.5 - мг/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дл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 xml:space="preserve">, 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уробилиноген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 xml:space="preserve"> 2-8 мг/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дл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>, рН5-9, удельный вес</w:t>
            </w:r>
            <w:proofErr w:type="gramStart"/>
            <w:r w:rsidRPr="00792957">
              <w:rPr>
                <w:rFonts w:cs="Calibri"/>
                <w:sz w:val="22"/>
                <w:szCs w:val="20"/>
              </w:rPr>
              <w:t>1</w:t>
            </w:r>
            <w:proofErr w:type="gramEnd"/>
            <w:r w:rsidRPr="00792957">
              <w:rPr>
                <w:rFonts w:cs="Calibri"/>
                <w:sz w:val="22"/>
                <w:szCs w:val="20"/>
              </w:rPr>
              <w:t>.000 – 1.030, кровь (гемоглобин)  0.03 – 1.0мг/дл, кетоны  5-150 мг/дл, нитриты 0.08 – 0.5 мг/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дл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 xml:space="preserve">, лейкоциты 25-300 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Leu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>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uL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>туба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31B06" w:rsidRPr="00761E77" w:rsidRDefault="00761E77" w:rsidP="00CA39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31B06" w:rsidRDefault="00CA3960" w:rsidP="00575F5E">
            <w:pPr>
              <w:jc w:val="center"/>
            </w:pPr>
            <w:r>
              <w:t>13 500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31B06" w:rsidRPr="00761E77" w:rsidRDefault="00761E77" w:rsidP="0057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337500</w:t>
            </w:r>
          </w:p>
        </w:tc>
      </w:tr>
      <w:tr w:rsidR="00531B06" w:rsidTr="00761E77">
        <w:trPr>
          <w:trHeight w:val="2412"/>
        </w:trPr>
        <w:tc>
          <w:tcPr>
            <w:tcW w:w="709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 xml:space="preserve">Бумага для </w:t>
            </w:r>
            <w:r w:rsidRPr="00962E51">
              <w:t xml:space="preserve">мочевого анализатора </w:t>
            </w:r>
            <w:proofErr w:type="spellStart"/>
            <w:r w:rsidRPr="00962E51">
              <w:t>Eleven</w:t>
            </w:r>
            <w:proofErr w:type="spellEnd"/>
          </w:p>
        </w:tc>
        <w:tc>
          <w:tcPr>
            <w:tcW w:w="3675" w:type="dxa"/>
            <w:shd w:val="clear" w:color="auto" w:fill="auto"/>
            <w:vAlign w:val="center"/>
          </w:tcPr>
          <w:p w:rsidR="00531B06" w:rsidRPr="00792957" w:rsidRDefault="00CA3960" w:rsidP="00CA3960">
            <w:pPr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Бумага диаграммная</w:t>
            </w:r>
            <w:r w:rsidR="00531B06">
              <w:rPr>
                <w:sz w:val="22"/>
                <w:szCs w:val="20"/>
              </w:rPr>
              <w:t xml:space="preserve"> 5</w:t>
            </w:r>
            <w:r>
              <w:rPr>
                <w:sz w:val="22"/>
                <w:szCs w:val="20"/>
              </w:rPr>
              <w:t>7</w:t>
            </w:r>
            <w:r w:rsidR="00531B06">
              <w:rPr>
                <w:sz w:val="22"/>
                <w:szCs w:val="20"/>
              </w:rPr>
              <w:t xml:space="preserve"> х </w:t>
            </w:r>
            <w:r>
              <w:rPr>
                <w:sz w:val="22"/>
                <w:szCs w:val="20"/>
              </w:rPr>
              <w:t>30</w:t>
            </w:r>
            <w:r w:rsidR="00531B06">
              <w:rPr>
                <w:sz w:val="22"/>
                <w:szCs w:val="20"/>
              </w:rPr>
              <w:t xml:space="preserve"> х 12</w:t>
            </w:r>
            <w:r>
              <w:rPr>
                <w:sz w:val="22"/>
                <w:szCs w:val="20"/>
              </w:rPr>
              <w:t xml:space="preserve"> 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>рулон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31B06" w:rsidRPr="00761E77" w:rsidRDefault="00761E77" w:rsidP="00761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31B06" w:rsidRDefault="00531B06" w:rsidP="00575F5E">
            <w:pPr>
              <w:jc w:val="center"/>
            </w:pPr>
            <w:r>
              <w:t>260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31B06" w:rsidRPr="00761E77" w:rsidRDefault="00761E77" w:rsidP="00761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3120</w:t>
            </w:r>
          </w:p>
        </w:tc>
      </w:tr>
    </w:tbl>
    <w:p w:rsidR="00531B06" w:rsidRPr="004332DD" w:rsidRDefault="00531B06" w:rsidP="00531B06">
      <w:pPr>
        <w:jc w:val="both"/>
      </w:pP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3410"/>
        <w:gridCol w:w="3410"/>
        <w:gridCol w:w="6160"/>
        <w:gridCol w:w="1720"/>
        <w:gridCol w:w="960"/>
      </w:tblGrid>
      <w:tr w:rsidR="00761E77" w:rsidRPr="00761E77" w:rsidTr="00761E77">
        <w:trPr>
          <w:trHeight w:val="315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Место поставки: ВКО, </w:t>
            </w:r>
            <w:proofErr w:type="spell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Курчумский</w:t>
            </w:r>
            <w:proofErr w:type="spell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район, с. Курчум, </w:t>
            </w:r>
            <w:proofErr w:type="spellStart"/>
            <w:proofErr w:type="gram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Захарова,1А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15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Место и начало предоставления представления ценовых предложений ВКО, </w:t>
            </w:r>
            <w:proofErr w:type="spell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Курчумский</w:t>
            </w:r>
            <w:proofErr w:type="spell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район, </w:t>
            </w:r>
          </w:p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с. Курчум, </w:t>
            </w:r>
            <w:proofErr w:type="spellStart"/>
            <w:proofErr w:type="gram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Захарова, 1А, с 15 ч 00 мин. «25» мая 2021 года.</w:t>
            </w:r>
          </w:p>
        </w:tc>
      </w:tr>
      <w:tr w:rsidR="00761E77" w:rsidRPr="00761E77" w:rsidTr="00761E77">
        <w:trPr>
          <w:trHeight w:val="315"/>
        </w:trPr>
        <w:tc>
          <w:tcPr>
            <w:tcW w:w="1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Окончательный срок предоставления ценовых предложений до  15 ч 00 мин. «2» июня 2021 года.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15"/>
        </w:trPr>
        <w:tc>
          <w:tcPr>
            <w:tcW w:w="1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Конверты с ценовыми предложениями будут вскрываться «2» июня  2021 года в 15 ч 30 мин.</w:t>
            </w:r>
          </w:p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по адресу: </w:t>
            </w:r>
            <w:proofErr w:type="spell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Курчумский</w:t>
            </w:r>
            <w:proofErr w:type="spell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район, с. Курчум, </w:t>
            </w:r>
            <w:proofErr w:type="spellStart"/>
            <w:proofErr w:type="gram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Захарова, 1А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00"/>
        </w:trPr>
        <w:tc>
          <w:tcPr>
            <w:tcW w:w="1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Дополнительную информацию и справку можно получить по телефону: раб.872339331048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00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Ответственное лицо:     </w:t>
            </w:r>
            <w:proofErr w:type="spell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Пестрякова</w:t>
            </w:r>
            <w:proofErr w:type="spell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Н.В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5074E" w:rsidRDefault="00F5074E" w:rsidP="00761E77"/>
    <w:sectPr w:rsidR="00F5074E" w:rsidSect="00761E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06"/>
    <w:rsid w:val="000743DB"/>
    <w:rsid w:val="00531B06"/>
    <w:rsid w:val="00571A77"/>
    <w:rsid w:val="00761E77"/>
    <w:rsid w:val="007D34CC"/>
    <w:rsid w:val="00CA3960"/>
    <w:rsid w:val="00F5074E"/>
    <w:rsid w:val="00FB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2</cp:revision>
  <dcterms:created xsi:type="dcterms:W3CDTF">2021-05-25T09:03:00Z</dcterms:created>
  <dcterms:modified xsi:type="dcterms:W3CDTF">2021-05-25T09:03:00Z</dcterms:modified>
</cp:coreProperties>
</file>